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8b1c605042286705119cbbf9112ac86b5600bc0"/>
    <w:p>
      <w:pPr>
        <w:pStyle w:val="Heading1"/>
      </w:pPr>
      <w:r>
        <w:t xml:space="preserve">План на урок по математика – Събиране и изваждане на многочлени, 7. клас</w:t>
      </w:r>
    </w:p>
    <w:p>
      <w:pPr>
        <w:pStyle w:val="FirstParagraph"/>
      </w:pPr>
      <w:r>
        <w:rPr>
          <w:bCs/>
          <w:b/>
        </w:rPr>
        <w:t xml:space="preserve">Тема по учебна програма:</w:t>
      </w:r>
      <w:r>
        <w:t xml:space="preserve"> </w:t>
      </w:r>
      <w:r>
        <w:t xml:space="preserve">Цели изрази</w:t>
      </w:r>
      <w:r>
        <w:t xml:space="preserve"> </w:t>
      </w:r>
      <w:r>
        <w:rPr>
          <w:iCs/>
          <w:i/>
        </w:rPr>
        <w:t xml:space="preserve">(Учебна програма по математика за VII клас, стр. 3)</w:t>
      </w:r>
    </w:p>
    <w:p>
      <w:pPr>
        <w:pStyle w:val="BodyText"/>
      </w:pPr>
      <w:r>
        <w:rPr>
          <w:bCs/>
          <w:b/>
        </w:rPr>
        <w:t xml:space="preserve">Място в учебната година:</w:t>
      </w:r>
      <w:r>
        <w:t xml:space="preserve"> </w:t>
      </w:r>
      <w:r>
        <w:t xml:space="preserve">тема 1 от 7 – приблизително септември – октомври.</w:t>
      </w:r>
    </w:p>
    <w:p>
      <w:pPr>
        <w:pStyle w:val="BodyText"/>
      </w:pPr>
      <w:r>
        <w:t xml:space="preserve">Оценка по реда на темите в програмата, не по норматив; разпределението го прави учителят.</w:t>
      </w:r>
    </w:p>
    <w:p>
      <w:pPr>
        <w:pStyle w:val="BodyText"/>
      </w:pPr>
      <w:r>
        <w:rPr>
          <w:bCs/>
          <w:b/>
        </w:rPr>
        <w:t xml:space="preserve">Модел на използване на Кан Академия:</w:t>
      </w:r>
      <w:r>
        <w:t xml:space="preserve"> </w:t>
      </w:r>
      <w:r>
        <w:t xml:space="preserve">Диференциран час – всеки с различно задание</w:t>
      </w:r>
    </w:p>
    <w:p>
      <w:pPr>
        <w:pStyle w:val="BodyText"/>
      </w:pPr>
      <w:r>
        <w:t xml:space="preserve">Целият час минава в платформата, но заданията са поименни и на три нива, а учителят сяда при тези, които се затрудняват.</w:t>
      </w:r>
    </w:p>
    <w:p>
      <w:pPr>
        <w:pStyle w:val="BodyText"/>
      </w:pPr>
      <w:r>
        <w:rPr>
          <w:bCs/>
          <w:b/>
        </w:rPr>
        <w:t xml:space="preserve">Времетраене:</w:t>
      </w:r>
      <w:r>
        <w:t xml:space="preserve"> </w:t>
      </w:r>
      <w:r>
        <w:t xml:space="preserve">45 минути</w:t>
      </w:r>
    </w:p>
    <w:p>
      <w:r>
        <w:pict>
          <v:rect style="width:0;height:1.5pt" o:hralign="center" o:hrstd="t" o:hr="t"/>
        </w:pict>
      </w:r>
    </w:p>
    <w:bookmarkStart w:id="26" w:name="очаквани-резултати"/>
    <w:p>
      <w:pPr>
        <w:pStyle w:val="Heading2"/>
      </w:pPr>
      <w:r>
        <w:t xml:space="preserve">Очаквани резултати</w:t>
      </w:r>
    </w:p>
    <w:bookmarkStart w:id="22" w:name="по-учебната-програма"/>
    <w:p>
      <w:pPr>
        <w:pStyle w:val="Heading3"/>
      </w:pPr>
      <w:r>
        <w:t xml:space="preserve">По учебната програма</w:t>
      </w:r>
    </w:p>
    <w:bookmarkStart w:id="20" w:name="знания"/>
    <w:p>
      <w:pPr>
        <w:pStyle w:val="Heading4"/>
      </w:pPr>
      <w:r>
        <w:t xml:space="preserve">Знания</w:t>
      </w:r>
    </w:p>
    <w:p>
      <w:pPr>
        <w:numPr>
          <w:ilvl w:val="0"/>
          <w:numId w:val="1001"/>
        </w:numPr>
        <w:pStyle w:val="Compact"/>
      </w:pPr>
      <w:r>
        <w:t xml:space="preserve">Знае понятието многочлен и понятията, свързани с него.</w:t>
      </w:r>
      <w:r>
        <w:t xml:space="preserve"> </w:t>
      </w:r>
      <w:r>
        <w:rPr>
          <w:iCs/>
          <w:i/>
        </w:rPr>
        <w:t xml:space="preserve">(Учебна програма по математика за VII клас, стр. 3)</w:t>
      </w:r>
    </w:p>
    <w:bookmarkEnd w:id="20"/>
    <w:bookmarkStart w:id="21" w:name="умения"/>
    <w:p>
      <w:pPr>
        <w:pStyle w:val="Heading4"/>
      </w:pPr>
      <w:r>
        <w:t xml:space="preserve">Умения</w:t>
      </w:r>
    </w:p>
    <w:p>
      <w:pPr>
        <w:numPr>
          <w:ilvl w:val="0"/>
          <w:numId w:val="1002"/>
        </w:numPr>
        <w:pStyle w:val="Compact"/>
      </w:pPr>
      <w:r>
        <w:t xml:space="preserve">Записва многочлен в нормален вид.</w:t>
      </w:r>
      <w:r>
        <w:t xml:space="preserve"> </w:t>
      </w:r>
      <w:r>
        <w:rPr>
          <w:iCs/>
          <w:i/>
        </w:rPr>
        <w:t xml:space="preserve">(Учебна програма по математика за VII клас, стр. 3)</w:t>
      </w:r>
    </w:p>
    <w:p>
      <w:pPr>
        <w:numPr>
          <w:ilvl w:val="0"/>
          <w:numId w:val="1002"/>
        </w:numPr>
        <w:pStyle w:val="Compact"/>
      </w:pPr>
      <w:r>
        <w:t xml:space="preserve">Събира и изважда многочлени.</w:t>
      </w:r>
      <w:r>
        <w:t xml:space="preserve"> </w:t>
      </w:r>
      <w:r>
        <w:rPr>
          <w:iCs/>
          <w:i/>
        </w:rPr>
        <w:t xml:space="preserve">(Учебна програма по математика за VII клас, стр. 3)</w:t>
      </w:r>
    </w:p>
    <w:bookmarkEnd w:id="21"/>
    <w:bookmarkEnd w:id="22"/>
    <w:bookmarkStart w:id="25" w:name="по-държавния-образователен-стандарт"/>
    <w:p>
      <w:pPr>
        <w:pStyle w:val="Heading3"/>
      </w:pPr>
      <w:r>
        <w:t xml:space="preserve">По държавния образователен стандарт</w:t>
      </w:r>
    </w:p>
    <w:bookmarkStart w:id="23" w:name="умения-1"/>
    <w:p>
      <w:pPr>
        <w:pStyle w:val="Heading4"/>
      </w:pPr>
      <w:r>
        <w:t xml:space="preserve">Умения</w:t>
      </w:r>
    </w:p>
    <w:p>
      <w:pPr>
        <w:numPr>
          <w:ilvl w:val="0"/>
          <w:numId w:val="1003"/>
        </w:numPr>
        <w:pStyle w:val="Compact"/>
      </w:pPr>
      <w:r>
        <w:t xml:space="preserve">Извършва действията (събиране, изваждане, умножение, деление и степенуване с цял степенен показател) с цели изрази, извършва тъждествени преобразувания с тях и пресмята стойност на цял израз.</w:t>
      </w:r>
      <w:r>
        <w:t xml:space="preserve"> </w:t>
      </w:r>
      <w:r>
        <w:rPr>
          <w:iCs/>
          <w:i/>
        </w:rPr>
        <w:t xml:space="preserve">(Наредба № 5 от 30.11.2015 г., Приложение № 3 – Математика, прогимназиален етап, стр. 46 от PDF файла)</w:t>
      </w:r>
    </w:p>
    <w:p>
      <w:pPr>
        <w:numPr>
          <w:ilvl w:val="0"/>
          <w:numId w:val="1003"/>
        </w:numPr>
        <w:pStyle w:val="Compact"/>
      </w:pPr>
      <w:r>
        <w:t xml:space="preserve">Преценява вярност и рационалност в конкретна ситуация и умее да обосновава изводи.</w:t>
      </w:r>
      <w:r>
        <w:t xml:space="preserve"> </w:t>
      </w:r>
      <w:r>
        <w:rPr>
          <w:iCs/>
          <w:i/>
        </w:rPr>
        <w:t xml:space="preserve">(Наредба № 5 от 30.11.2015 г., Приложение № 3 – Математика, прогимназиален етап, стр. 48 от PDF файла)</w:t>
      </w:r>
    </w:p>
    <w:bookmarkEnd w:id="23"/>
    <w:bookmarkStart w:id="24" w:name="отношения"/>
    <w:p>
      <w:pPr>
        <w:pStyle w:val="Heading4"/>
      </w:pPr>
      <w:r>
        <w:t xml:space="preserve">Отношения</w:t>
      </w:r>
    </w:p>
    <w:p>
      <w:pPr>
        <w:numPr>
          <w:ilvl w:val="0"/>
          <w:numId w:val="1004"/>
        </w:numPr>
        <w:pStyle w:val="Compact"/>
      </w:pPr>
      <w:r>
        <w:t xml:space="preserve">Не се страхува от грешката и я търси в чужд запис като нормална част от ученето.</w:t>
      </w:r>
      <w:r>
        <w:t xml:space="preserve"> </w:t>
      </w:r>
      <w:r>
        <w:rPr>
          <w:iCs/>
          <w:i/>
        </w:rPr>
        <w:t xml:space="preserve">(изведено от специфичните цели на етапа – „Формиране на логическо мислене, комбинативност, наблюдателност“; не е цитат по страница)</w:t>
      </w:r>
    </w:p>
    <w:bookmarkEnd w:id="24"/>
    <w:bookmarkEnd w:id="25"/>
    <w:bookmarkEnd w:id="26"/>
    <w:bookmarkStart w:id="27" w:name="междупредметни-връзки"/>
    <w:p>
      <w:pPr>
        <w:pStyle w:val="Heading2"/>
      </w:pPr>
      <w:r>
        <w:t xml:space="preserve">Междупредметни връзки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Компютърно моделиране и информационни технологии, VII клас, „Обработка на таблични данни“</w:t>
      </w:r>
      <w:r>
        <w:t xml:space="preserve"> </w:t>
      </w:r>
      <w:r>
        <w:rPr>
          <w:iCs/>
          <w:i/>
        </w:rPr>
        <w:t xml:space="preserve">(учебна програма, стр. 4)</w:t>
      </w:r>
      <w:r>
        <w:t xml:space="preserve">: програмата очаква ученикът да „прилага относително и абсолютно адресиране на клетки“. В следващия час учениците проверяват в електронна таблица, че стойността на сбора на два многочлена е равна на сбора от стойностите им при x = 1, 2, 3, 4, 5. Програмата по математика предвижда такива съвместни уроци</w:t>
      </w:r>
      <w:r>
        <w:t xml:space="preserve"> </w:t>
      </w:r>
      <w:r>
        <w:rPr>
          <w:iCs/>
          <w:i/>
        </w:rPr>
        <w:t xml:space="preserve">(стр. 7)</w:t>
      </w:r>
      <w:r>
        <w:t xml:space="preserve">. Други връзки не са предложени.</w:t>
      </w:r>
    </w:p>
    <w:bookmarkEnd w:id="27"/>
    <w:bookmarkStart w:id="35" w:name="ресурси"/>
    <w:p>
      <w:pPr>
        <w:pStyle w:val="Heading2"/>
      </w:pPr>
      <w:r>
        <w:t xml:space="preserve">Ресурси</w:t>
      </w:r>
    </w:p>
    <w:p>
      <w:pPr>
        <w:pStyle w:val="FirstParagraph"/>
      </w:pPr>
      <w:r>
        <w:rPr>
          <w:bCs/>
          <w:b/>
        </w:rPr>
        <w:t xml:space="preserve">Кан Академия (bg.khanacademy.org)</w:t>
      </w:r>
    </w:p>
    <w:p>
      <w:pPr>
        <w:numPr>
          <w:ilvl w:val="0"/>
          <w:numId w:val="1006"/>
        </w:numPr>
        <w:pStyle w:val="Compact"/>
      </w:pPr>
      <w:hyperlink r:id="rId28">
        <w:r>
          <w:rPr>
            <w:rStyle w:val="Hyperlink"/>
          </w:rPr>
          <w:t xml:space="preserve">Събиране и изваждане на многочлени</w:t>
        </w:r>
      </w:hyperlink>
      <w:r>
        <w:t xml:space="preserve"> </w:t>
      </w:r>
      <w:r>
        <w:t xml:space="preserve">– урок, 8 видеа и 6 упражнения; основният урок на часа</w:t>
      </w:r>
    </w:p>
    <w:p>
      <w:pPr>
        <w:numPr>
          <w:ilvl w:val="0"/>
          <w:numId w:val="1006"/>
        </w:numPr>
        <w:pStyle w:val="Compact"/>
      </w:pPr>
      <w:hyperlink r:id="rId29">
        <w:r>
          <w:rPr>
            <w:rStyle w:val="Hyperlink"/>
          </w:rPr>
          <w:t xml:space="preserve">Събиране на подобни членове с отрицателни коефициенти</w:t>
        </w:r>
      </w:hyperlink>
      <w:r>
        <w:t xml:space="preserve"> </w:t>
      </w:r>
      <w:r>
        <w:t xml:space="preserve">– упражнение от урока „Многочлен“; диагностика в началото на часа</w:t>
      </w:r>
    </w:p>
    <w:p>
      <w:pPr>
        <w:numPr>
          <w:ilvl w:val="0"/>
          <w:numId w:val="1006"/>
        </w:numPr>
        <w:pStyle w:val="Compact"/>
      </w:pPr>
      <w:hyperlink r:id="rId30">
        <w:r>
          <w:rPr>
            <w:rStyle w:val="Hyperlink"/>
          </w:rPr>
          <w:t xml:space="preserve">Въведение в събиране на подобни членове</w:t>
        </w:r>
      </w:hyperlink>
      <w:r>
        <w:t xml:space="preserve"> </w:t>
      </w:r>
      <w:r>
        <w:t xml:space="preserve">– видео, ниво „Основи“</w:t>
      </w:r>
    </w:p>
    <w:p>
      <w:pPr>
        <w:numPr>
          <w:ilvl w:val="0"/>
          <w:numId w:val="1006"/>
        </w:numPr>
        <w:pStyle w:val="Compact"/>
      </w:pPr>
      <w:hyperlink r:id="rId31">
        <w:r>
          <w:rPr>
            <w:rStyle w:val="Hyperlink"/>
          </w:rPr>
          <w:t xml:space="preserve">Събиране и изваждане на многочлени</w:t>
        </w:r>
      </w:hyperlink>
      <w:r>
        <w:t xml:space="preserve"> </w:t>
      </w:r>
      <w:r>
        <w:t xml:space="preserve">– упражнение, стандартно ниво</w:t>
      </w:r>
    </w:p>
    <w:p>
      <w:pPr>
        <w:numPr>
          <w:ilvl w:val="0"/>
          <w:numId w:val="1006"/>
        </w:numPr>
        <w:pStyle w:val="Compact"/>
      </w:pPr>
      <w:hyperlink r:id="rId32">
        <w:r>
          <w:rPr>
            <w:rStyle w:val="Hyperlink"/>
          </w:rPr>
          <w:t xml:space="preserve">Събиране и изваждане на многочлени: две променливи</w:t>
        </w:r>
      </w:hyperlink>
      <w:r>
        <w:t xml:space="preserve"> </w:t>
      </w:r>
      <w:r>
        <w:t xml:space="preserve">– упражнение, ниво „Надграждане“</w:t>
      </w:r>
    </w:p>
    <w:p>
      <w:pPr>
        <w:numPr>
          <w:ilvl w:val="0"/>
          <w:numId w:val="1006"/>
        </w:numPr>
        <w:pStyle w:val="Compact"/>
      </w:pPr>
      <w:hyperlink r:id="rId33">
        <w:r>
          <w:rPr>
            <w:rStyle w:val="Hyperlink"/>
          </w:rPr>
          <w:t xml:space="preserve">Събиране и изваждане на многочлени: намери грешката</w:t>
        </w:r>
      </w:hyperlink>
      <w:r>
        <w:t xml:space="preserve"> </w:t>
      </w:r>
      <w:r>
        <w:t xml:space="preserve">– упражнение, ниво „Надграждане“</w:t>
      </w:r>
    </w:p>
    <w:p>
      <w:pPr>
        <w:numPr>
          <w:ilvl w:val="0"/>
          <w:numId w:val="1006"/>
        </w:numPr>
        <w:pStyle w:val="Compact"/>
      </w:pPr>
      <w:hyperlink r:id="rId34">
        <w:r>
          <w:rPr>
            <w:rStyle w:val="Hyperlink"/>
          </w:rPr>
          <w:t xml:space="preserve">Събиране на многочлени</w:t>
        </w:r>
      </w:hyperlink>
      <w:r>
        <w:t xml:space="preserve"> </w:t>
      </w:r>
      <w:r>
        <w:t xml:space="preserve">– видео за отсъствалите, за гледане вкъщи</w:t>
      </w:r>
    </w:p>
    <w:p>
      <w:r>
        <w:pict>
          <v:rect style="width:0;height:1.5pt" o:hralign="center" o:hrstd="t" o:hr="t"/>
        </w:pict>
      </w:r>
    </w:p>
    <w:bookmarkEnd w:id="35"/>
    <w:bookmarkStart w:id="37" w:name="структура-на-урока"/>
    <w:p>
      <w:pPr>
        <w:pStyle w:val="Heading2"/>
      </w:pPr>
      <w:r>
        <w:t xml:space="preserve">Структура на урока</w:t>
      </w:r>
    </w:p>
    <w:tbl>
      <w:tblPr>
        <w:tblStyle w:val="Table"/>
        <w:tblLook w:firstRow="1" w:lastRow="0" w:firstColumn="0" w:lastColumn="0" w:noHBand="0" w:noVBand="0" w:val="0020"/>
        <w:jc w:val="start"/>
        <w:tblW w:w="14968" w:type="dxa"/>
        <w:tblLayout w:type="fixed"/>
        <w:tblBorders>
          <w:top w:val="single" w:sz="4" w:color="9AA3B5"/>
          <w:left w:val="single" w:sz="4" w:color="9AA3B5"/>
          <w:bottom w:val="single" w:sz="4" w:color="9AA3B5"/>
          <w:right w:val="single" w:sz="4" w:color="9AA3B5"/>
          <w:insideH w:val="single" w:sz="4" w:color="9AA3B5"/>
          <w:insideV w:val="single" w:sz="4" w:color="9AA3B5"/>
        </w:tblBorders>
      </w:tblPr>
      <w:tblGrid>
        <w:gridCol w:w="1701"/>
        <w:gridCol w:w="680"/>
        <w:gridCol w:w="1927"/>
        <w:gridCol w:w="1701"/>
        <w:gridCol w:w="6407"/>
        <w:gridCol w:w="2551"/>
      </w:tblGrid>
      <w:tr>
        <w:trPr>
          <w:tblHeader w:val="true"/>
        </w:trPr>
        <w:tc>
          <w:tcPr>
            <w:tcW w:type="dxa" w:w="1701"/>
            <w:shd w:val="clear" w:color="auto" w:fill="0A2A66"/>
          </w:tcPr>
          <w:p>
            <w:pPr>
              <w:pStyle w:val="Compact"/>
              <w:jc w:val="left"/>
            </w:pPr>
            <w:r>
              <w:rPr>
                <w:b/>
                <w:color w:val="FFFFFF"/>
                <w:sz w:val="17"/>
              </w:rPr>
              <w:t xml:space="preserve">Дейност</w:t>
            </w:r>
          </w:p>
        </w:tc>
        <w:tc>
          <w:tcPr>
            <w:tcW w:type="dxa" w:w="680"/>
            <w:shd w:val="clear" w:color="auto" w:fill="0A2A66"/>
          </w:tcPr>
          <w:p>
            <w:pPr>
              <w:pStyle w:val="Compact"/>
              <w:jc w:val="left"/>
            </w:pPr>
            <w:r>
              <w:rPr>
                <w:b/>
                <w:color w:val="FFFFFF"/>
                <w:sz w:val="17"/>
              </w:rPr>
              <w:t xml:space="preserve">Мин.</w:t>
            </w:r>
          </w:p>
        </w:tc>
        <w:tc>
          <w:tcPr>
            <w:tcW w:type="dxa" w:w="1928"/>
            <w:shd w:val="clear" w:color="auto" w:fill="0A2A66"/>
          </w:tcPr>
          <w:p>
            <w:pPr>
              <w:pStyle w:val="Compact"/>
              <w:jc w:val="left"/>
            </w:pPr>
            <w:r>
              <w:rPr>
                <w:b/>
                <w:color w:val="FFFFFF"/>
                <w:sz w:val="17"/>
              </w:rPr>
              <w:t xml:space="preserve">Цел</w:t>
            </w:r>
          </w:p>
        </w:tc>
        <w:tc>
          <w:tcPr>
            <w:tcW w:type="dxa" w:w="1701"/>
            <w:shd w:val="clear" w:color="auto" w:fill="0A2A66"/>
          </w:tcPr>
          <w:p>
            <w:pPr>
              <w:pStyle w:val="Compact"/>
              <w:jc w:val="left"/>
            </w:pPr>
            <w:r>
              <w:rPr>
                <w:b/>
                <w:color w:val="FFFFFF"/>
                <w:sz w:val="17"/>
              </w:rPr>
              <w:t xml:space="preserve">Очакван резултат</w:t>
            </w:r>
          </w:p>
        </w:tc>
        <w:tc>
          <w:tcPr>
            <w:tcW w:type="dxa" w:w="6406"/>
            <w:shd w:val="clear" w:color="auto" w:fill="0A2A66"/>
          </w:tcPr>
          <w:p>
            <w:pPr>
              <w:pStyle w:val="Compact"/>
              <w:jc w:val="left"/>
            </w:pPr>
            <w:r>
              <w:rPr>
                <w:b/>
                <w:color w:val="FFFFFF"/>
                <w:sz w:val="17"/>
              </w:rPr>
              <w:t xml:space="preserve">Какво се прави</w:t>
            </w:r>
          </w:p>
        </w:tc>
        <w:tc>
          <w:tcPr>
            <w:tcW w:type="dxa" w:w="2551"/>
            <w:shd w:val="clear" w:color="auto" w:fill="0A2A66"/>
          </w:tcPr>
          <w:p>
            <w:pPr>
              <w:pStyle w:val="Compact"/>
              <w:jc w:val="left"/>
            </w:pPr>
            <w:r>
              <w:rPr>
                <w:b/>
                <w:color w:val="FFFFFF"/>
                <w:sz w:val="17"/>
              </w:rPr>
              <w:t xml:space="preserve">Ресурси</w:t>
            </w:r>
          </w:p>
        </w:tc>
      </w:tr>
      <w:tr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Влизане и бърза диагностика</w:t>
            </w:r>
          </w:p>
        </w:tc>
        <w:tc>
          <w:tcPr>
            <w:tcW w:type="dxa" w:w="680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4</w:t>
            </w:r>
          </w:p>
        </w:tc>
        <w:tc>
          <w:tcPr>
            <w:tcW w:type="dxa" w:w="1928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Да се види от самото начало кой къде е, без оценка</w:t>
            </w:r>
          </w:p>
        </w:tc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Знае понятието многочлен и понятията, свързани с него</w:t>
            </w:r>
          </w:p>
        </w:tc>
        <w:tc>
          <w:tcPr>
            <w:tcW w:type="dxa" w:w="6406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Учениците влизат в bg.khanacademy.org (1 мин.), после решават без оценка: 7a + 2a − 4a; 4x + 3x² − 2x; 5b − 8b + 3b (отговори: 5a; 3x² + 2x; 0). Учителят отбелязва кой в коя задача е сгрешил.</w:t>
            </w:r>
          </w:p>
        </w:tc>
        <w:tc>
          <w:tcPr>
            <w:tcW w:type="dxa" w:w="2551"/>
          </w:tcPr>
          <w:p>
            <w:pPr>
              <w:pStyle w:val="Compact"/>
              <w:jc w:val="left"/>
            </w:pPr>
            <w:hyperlink r:id="rId29">
              <w:r>
                <w:rPr>
                  <w:rStyle w:val="Hyperlink"/>
                </w:rPr>
                <w:t xml:space="preserve">Подобни членове</w:t>
              </w:r>
            </w:hyperlink>
            <w:r>
              <w:rPr>
                <w:sz w:val="17"/>
              </w:rPr>
              <w:t xml:space="preserve">, устройства</w:t>
            </w:r>
          </w:p>
        </w:tc>
      </w:tr>
      <w:tr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Припомняне на дъската</w:t>
            </w:r>
          </w:p>
        </w:tc>
        <w:tc>
          <w:tcPr>
            <w:tcW w:type="dxa" w:w="680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6</w:t>
            </w:r>
          </w:p>
        </w:tc>
        <w:tc>
          <w:tcPr>
            <w:tcW w:type="dxa" w:w="1928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Да се види как знакът пред скобата променя знаците вътре</w:t>
            </w:r>
          </w:p>
        </w:tc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Записва многочлен в нормален вид</w:t>
            </w:r>
          </w:p>
        </w:tc>
        <w:tc>
          <w:tcPr>
            <w:tcW w:type="dxa" w:w="6406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Учителят решава на дъската: 3x² + 5x − 2x² + 4x = x² + 9x и (4a² + 3a − 1) − (a² − 2a + 5) = 3a² + 5a − 6. Учениците преписват втория пример и проверяват с a = 2: и двете страни дават 16.</w:t>
            </w:r>
          </w:p>
        </w:tc>
        <w:tc>
          <w:tcPr>
            <w:tcW w:type="dxa" w:w="255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дъска, тетрадка</w:t>
            </w:r>
          </w:p>
        </w:tc>
      </w:tr>
      <w:tr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Самостоятелна практика на три нива</w:t>
            </w:r>
          </w:p>
        </w:tc>
        <w:tc>
          <w:tcPr>
            <w:tcW w:type="dxa" w:w="680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28</w:t>
            </w:r>
          </w:p>
        </w:tc>
        <w:tc>
          <w:tcPr>
            <w:tcW w:type="dxa" w:w="1928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Всеки да работи на своето ниво до „Напреднал“ или „Майстор“; учителят да е свободен за тези, които се затрудняват</w:t>
            </w:r>
          </w:p>
        </w:tc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Събира и изважда многочлени</w:t>
            </w:r>
          </w:p>
        </w:tc>
        <w:tc>
          <w:tcPr>
            <w:tcW w:type="dxa" w:w="6406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Заданията са поименни, по диагностиката. „Основи“: видеото „Въведение в събиране на подобни членове“ и упражнения за подобни членове. Стандартно: „Събиране и изваждане на многочлени“. „Надграждане“: „две променливи“ и „намери грешката“. Подкрепа: първо видеото отново, второ подсказките, трето съученик, четвърто учителят. Учителят започва от ниво „Основи“ и следи учителското табло.</w:t>
            </w:r>
          </w:p>
        </w:tc>
        <w:tc>
          <w:tcPr>
            <w:tcW w:type="dxa" w:w="2551"/>
          </w:tcPr>
          <w:p>
            <w:pPr>
              <w:pStyle w:val="Compact"/>
              <w:jc w:val="left"/>
            </w:pPr>
            <w:hyperlink r:id="rId28">
              <w:r>
                <w:rPr>
                  <w:rStyle w:val="Hyperlink"/>
                </w:rPr>
                <w:t xml:space="preserve">Урок</w:t>
              </w:r>
            </w:hyperlink>
            <w:r>
              <w:rPr>
                <w:sz w:val="17"/>
              </w:rPr>
              <w:t xml:space="preserve">,</w:t>
            </w:r>
            <w:r>
              <w:rPr>
                <w:sz w:val="17"/>
              </w:rPr>
              <w:t xml:space="preserve"> </w:t>
            </w:r>
            <w:hyperlink r:id="rId30">
              <w:r>
                <w:rPr>
                  <w:rStyle w:val="Hyperlink"/>
                </w:rPr>
                <w:t xml:space="preserve">Видео „Основи“</w:t>
              </w:r>
            </w:hyperlink>
            <w:r>
              <w:rPr>
                <w:sz w:val="17"/>
              </w:rPr>
              <w:t xml:space="preserve">,</w:t>
            </w:r>
            <w:r>
              <w:rPr>
                <w:sz w:val="17"/>
              </w:rPr>
              <w:t xml:space="preserve"> </w:t>
            </w:r>
            <w:hyperlink r:id="rId31">
              <w:r>
                <w:rPr>
                  <w:rStyle w:val="Hyperlink"/>
                </w:rPr>
                <w:t xml:space="preserve">Стандартно ниво</w:t>
              </w:r>
            </w:hyperlink>
            <w:r>
              <w:rPr>
                <w:sz w:val="17"/>
              </w:rPr>
              <w:t xml:space="preserve">,</w:t>
            </w:r>
            <w:r>
              <w:rPr>
                <w:sz w:val="17"/>
              </w:rPr>
              <w:t xml:space="preserve"> </w:t>
            </w:r>
            <w:hyperlink r:id="rId32">
              <w:r>
                <w:rPr>
                  <w:rStyle w:val="Hyperlink"/>
                </w:rPr>
                <w:t xml:space="preserve">Две променливи</w:t>
              </w:r>
            </w:hyperlink>
            <w:r>
              <w:rPr>
                <w:sz w:val="17"/>
              </w:rPr>
              <w:t xml:space="preserve">,</w:t>
            </w:r>
            <w:r>
              <w:rPr>
                <w:sz w:val="17"/>
              </w:rPr>
              <w:t xml:space="preserve"> </w:t>
            </w:r>
            <w:hyperlink r:id="rId33">
              <w:r>
                <w:rPr>
                  <w:rStyle w:val="Hyperlink"/>
                </w:rPr>
                <w:t xml:space="preserve">Намери грешката</w:t>
              </w:r>
            </w:hyperlink>
          </w:p>
        </w:tc>
      </w:tr>
      <w:tr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Най-грешената задача</w:t>
            </w:r>
          </w:p>
        </w:tc>
        <w:tc>
          <w:tcPr>
            <w:tcW w:type="dxa" w:w="680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3</w:t>
            </w:r>
          </w:p>
        </w:tc>
        <w:tc>
          <w:tcPr>
            <w:tcW w:type="dxa" w:w="1928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Общата грешка да се разбере и да се поправи</w:t>
            </w:r>
          </w:p>
        </w:tc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Преценява вярност и обосновава извод</w:t>
            </w:r>
          </w:p>
        </w:tc>
        <w:tc>
          <w:tcPr>
            <w:tcW w:type="dxa" w:w="6406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Класът обсъжда „Намерете грешката в (2x² − x) − (x² − 3x) = x² − 4x.“ Верен отговор: x² + 2x (знакът пред скобата променя знаците на всички членове).</w:t>
            </w:r>
          </w:p>
        </w:tc>
        <w:tc>
          <w:tcPr>
            <w:tcW w:type="dxa" w:w="255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дъска, проектор</w:t>
            </w:r>
          </w:p>
        </w:tc>
      </w:tr>
      <w:tr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Кратка проверка</w:t>
            </w:r>
          </w:p>
        </w:tc>
        <w:tc>
          <w:tcPr>
            <w:tcW w:type="dxa" w:w="680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2</w:t>
            </w:r>
          </w:p>
        </w:tc>
        <w:tc>
          <w:tcPr>
            <w:tcW w:type="dxa" w:w="1928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Всеки да покаже самостоятелно, че умее</w:t>
            </w:r>
          </w:p>
        </w:tc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Събира и изважда многочлени</w:t>
            </w:r>
          </w:p>
        </w:tc>
        <w:tc>
          <w:tcPr>
            <w:tcW w:type="dxa" w:w="6406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Всеки решава (5a − 2) − (3a − 4) и записва с една дума какво прави със знаците. Верният отговор е 2a + 2.</w:t>
            </w:r>
          </w:p>
        </w:tc>
        <w:tc>
          <w:tcPr>
            <w:tcW w:type="dxa" w:w="255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тетрадка</w:t>
            </w:r>
          </w:p>
        </w:tc>
      </w:tr>
      <w:tr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Табло и обратна връзка</w:t>
            </w:r>
          </w:p>
        </w:tc>
        <w:tc>
          <w:tcPr>
            <w:tcW w:type="dxa" w:w="680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2</w:t>
            </w:r>
          </w:p>
        </w:tc>
        <w:tc>
          <w:tcPr>
            <w:tcW w:type="dxa" w:w="1928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Да се види къде е класът и какво следва</w:t>
            </w:r>
          </w:p>
        </w:tc>
        <w:tc>
          <w:tcPr>
            <w:tcW w:type="dxa" w:w="170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Не се страхува от грешката</w:t>
            </w:r>
          </w:p>
        </w:tc>
        <w:tc>
          <w:tcPr>
            <w:tcW w:type="dxa" w:w="6406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Учителят показва таблото (броят упражнявания и подсказки, не минутите). Всеки пише изречение „Какво разбрах?“. Учителят отбелязва кой има нужда от допълнителна задача и кой от връщане към подобните членове.</w:t>
            </w:r>
          </w:p>
        </w:tc>
        <w:tc>
          <w:tcPr>
            <w:tcW w:type="dxa" w:w="2551"/>
          </w:tcPr>
          <w:p>
            <w:pPr>
              <w:pStyle w:val="Compact"/>
              <w:jc w:val="left"/>
            </w:pPr>
            <w:r>
              <w:rPr>
                <w:sz w:val="17"/>
              </w:rPr>
              <w:t xml:space="preserve">проектор</w:t>
            </w:r>
          </w:p>
        </w:tc>
      </w:tr>
    </w:tbl>
    <w:p>
      <w:pPr>
        <w:pStyle w:val="BodyText"/>
      </w:pPr>
      <w:r>
        <w:rPr>
          <w:bCs/>
          <w:b/>
        </w:rPr>
        <w:t xml:space="preserve">Общо: 45 минути</w:t>
      </w:r>
    </w:p>
    <w:bookmarkStart w:id="36" w:name="бележки-за-провеждането"/>
    <w:p>
      <w:pPr>
        <w:pStyle w:val="Heading3"/>
      </w:pPr>
      <w:r>
        <w:t xml:space="preserve">Бележки за провеждането</w:t>
      </w:r>
    </w:p>
    <w:p>
      <w:pPr>
        <w:numPr>
          <w:ilvl w:val="0"/>
          <w:numId w:val="1007"/>
        </w:numPr>
        <w:pStyle w:val="Compact"/>
      </w:pPr>
      <w:r>
        <w:t xml:space="preserve">Заданията са поименни, нивата не се наричат „силна“ и „слаба“ група, а групите са гъвкави.</w:t>
      </w:r>
    </w:p>
    <w:p>
      <w:pPr>
        <w:numPr>
          <w:ilvl w:val="0"/>
          <w:numId w:val="1007"/>
        </w:numPr>
        <w:pStyle w:val="Compact"/>
      </w:pPr>
      <w:r>
        <w:t xml:space="preserve">Ако устройствата не стигат: едната група работи в платформата, другата решава на хартия двата примера от припомнянето, после се сменят.</w:t>
      </w:r>
    </w:p>
    <w:p>
      <w:pPr>
        <w:numPr>
          <w:ilvl w:val="0"/>
          <w:numId w:val="1007"/>
        </w:numPr>
        <w:pStyle w:val="Compact"/>
      </w:pPr>
      <w:r>
        <w:t xml:space="preserve">За ученик със СОП: упражненията „Основи“ без ограничение във времето, при нужда подобни членове от по-долен клас.</w:t>
      </w:r>
    </w:p>
    <w:p>
      <w:pPr>
        <w:numPr>
          <w:ilvl w:val="0"/>
          <w:numId w:val="1007"/>
        </w:numPr>
        <w:pStyle w:val="Compact"/>
      </w:pPr>
      <w:r>
        <w:t xml:space="preserve">Часът е по-шумен. Правило: помага се с обяснение, готов отговор не се дава.</w:t>
      </w:r>
    </w:p>
    <w:p>
      <w:pPr>
        <w:numPr>
          <w:ilvl w:val="0"/>
          <w:numId w:val="1007"/>
        </w:numPr>
        <w:pStyle w:val="Compact"/>
      </w:pPr>
      <w:r>
        <w:t xml:space="preserve">За отсъствалите: видеото „Събиране на многочлени“ вкъщи. В нов клас влизането в профилите отнема 3–5 минути, взети от практиката.</w:t>
      </w:r>
    </w:p>
    <w:bookmarkEnd w:id="36"/>
    <w:bookmarkEnd w:id="37"/>
    <w:bookmarkEnd w:id="38"/>
    <w:sectPr>
      <w:headerReference w:type="default" r:id="rId9"/>
      <w:pgSz w:orient="landscape" w:w="16838" w:h="11906"/>
      <w:pgMar w:left="737" w:right="737" w:top="567" w:bottom="567" w:header="22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84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ob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8400" cy="288000"/>
                  </a:xfrm>
                  <a:prstGeom prst="rect"/>
                </pic:spPr>
              </pic:pic>
            </a:graphicData>
          </a:graphic>
        </wp:inline>
      </w:drawing>
    </w:r>
    <w:r>
      <w:t xml:space="preserve">     </w:t>
    </w:r>
    <w:r>
      <w:drawing>
        <wp:inline xmlns:a="http://schemas.openxmlformats.org/drawingml/2006/main" xmlns:pic="http://schemas.openxmlformats.org/drawingml/2006/picture">
          <wp:extent cx="1328400" cy="216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k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8400" cy="21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40"/>
    </w:pPr>
    <w:rPr>
      <w:rFonts w:ascii="Calibri" w:hAnsi="Calibri"/>
      <w:sz w:val="19"/>
    </w:rPr>
  </w:style>
  <w:style w:styleId="BodyText" w:type="paragraph">
    <w:name w:val="Body Text"/>
    <w:basedOn w:val="Normal"/>
    <w:link w:val="BodyTextChar"/>
    <w:pPr>
      <w:spacing w:after="40" w:before="0"/>
    </w:pPr>
    <w:qFormat/>
    <w:rPr>
      <w:rFonts w:ascii="Calibri" w:hAnsi="Calibri"/>
    </w:rPr>
  </w:style>
  <w:style w:customStyle="1" w:styleId="FirstParagraph" w:type="paragraph">
    <w:name w:val="First Paragraph"/>
    <w:basedOn w:val="BodyText"/>
    <w:next w:val="BodyText"/>
    <w:qFormat/>
    <w:pPr>
      <w:spacing w:before="0" w:after="40"/>
    </w:pPr>
    <w:rPr>
      <w:rFonts w:ascii="Calibri" w:hAnsi="Calibri"/>
    </w:rPr>
  </w:style>
  <w:style w:customStyle="1" w:styleId="Compact" w:type="paragraph">
    <w:name w:val="Compact"/>
    <w:basedOn w:val="BodyText"/>
    <w:qFormat/>
    <w:pPr>
      <w:spacing w:after="40" w:before="0"/>
    </w:pPr>
    <w:rPr>
      <w:rFonts w:ascii="Calibri" w:hAnsi="Calibri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Calibri" w:hAnsi="Calibri"/>
      <w:b/>
      <w:bCs/>
      <w:color w:val="0A2A66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Calibri" w:hAnsi="Calibri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40" w:before="100"/>
      <w:outlineLvl w:val="0"/>
    </w:pPr>
    <w:rPr>
      <w:rFonts w:asciiTheme="majorHAnsi" w:cstheme="majorBidi" w:eastAsiaTheme="majorEastAsia" w:hAnsiTheme="majorHAnsi" w:ascii="Calibri" w:hAnsi="Calibri"/>
      <w:b/>
      <w:bCs/>
      <w:color w:val="0A2A66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40" w:before="100"/>
      <w:outlineLvl w:val="1"/>
    </w:pPr>
    <w:rPr>
      <w:rFonts w:asciiTheme="majorHAnsi" w:cstheme="majorBidi" w:eastAsiaTheme="majorEastAsia" w:hAnsiTheme="majorHAnsi" w:ascii="Calibri" w:hAnsi="Calibri"/>
      <w:b/>
      <w:bCs/>
      <w:color w:val="0A2A66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40" w:before="100"/>
      <w:outlineLvl w:val="2"/>
    </w:pPr>
    <w:rPr>
      <w:rFonts w:asciiTheme="majorHAnsi" w:cstheme="majorBidi" w:eastAsiaTheme="majorEastAsia" w:hAnsiTheme="majorHAnsi" w:ascii="Calibri" w:hAnsi="Calibri"/>
      <w:b/>
      <w:bCs/>
      <w:color w:val="0A2A66"/>
      <w:sz w:val="21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40" w:before="100"/>
      <w:outlineLvl w:val="3"/>
    </w:pPr>
    <w:rPr>
      <w:rFonts w:asciiTheme="majorHAnsi" w:cstheme="majorBidi" w:eastAsiaTheme="majorEastAsia" w:hAnsiTheme="majorHAnsi" w:ascii="Calibri" w:hAnsi="Calibri"/>
      <w:i/>
      <w:bCs/>
      <w:color w:val="0A2A66"/>
      <w:sz w:val="19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40" w:before="100"/>
      <w:outlineLvl w:val="4"/>
    </w:pPr>
    <w:rPr>
      <w:rFonts w:asciiTheme="majorHAnsi" w:cstheme="majorBidi" w:eastAsiaTheme="majorEastAsia" w:hAnsiTheme="majorHAnsi" w:ascii="Calibri" w:hAnsi="Calibr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40" w:before="100"/>
      <w:outlineLvl w:val="5"/>
    </w:pPr>
    <w:rPr>
      <w:rFonts w:asciiTheme="majorHAnsi" w:cstheme="majorBidi" w:eastAsiaTheme="majorEastAsia" w:hAnsiTheme="majorHAnsi" w:ascii="Calibri" w:hAnsi="Calibr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40" w:before="100"/>
      <w:outlineLvl w:val="6"/>
    </w:pPr>
    <w:rPr>
      <w:rFonts w:asciiTheme="majorHAnsi" w:cstheme="majorBidi" w:eastAsiaTheme="majorEastAsia" w:hAnsiTheme="majorHAnsi" w:ascii="Calibri" w:hAnsi="Calibr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40" w:before="100"/>
      <w:outlineLvl w:val="7"/>
    </w:pPr>
    <w:rPr>
      <w:rFonts w:asciiTheme="majorHAnsi" w:cstheme="majorBidi" w:eastAsiaTheme="majorEastAsia" w:hAnsiTheme="majorHAnsi" w:ascii="Calibri" w:hAnsi="Calibr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40" w:before="100"/>
      <w:outlineLvl w:val="8"/>
    </w:pPr>
    <w:rPr>
      <w:rFonts w:asciiTheme="majorHAnsi" w:cstheme="majorBidi" w:eastAsiaTheme="majorEastAsia" w:hAnsiTheme="majorHAnsi" w:ascii="Calibri" w:hAnsi="Calibr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</w:rPr>
  </w:style>
  <w:style w:default="1" w:styleId="DefaultParagraphFont" w:type="character">
    <w:name w:val="Default Paragraph Font"/>
    <w:semiHidden/>
    <w:unhideWhenUsed/>
    <w:rPr>
      <w:rFonts w:ascii="Calibri" w:hAnsi="Calibri"/>
    </w:rPr>
  </w:style>
  <w:style w:default="1" w:styleId="Table" w:type="table">
    <w:name w:val="Table"/>
    <w:basedOn w:val="TableNormal"/>
    <w:semiHidden/>
    <w:unhideWhenUsed/>
    <w:qFormat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</w:rPr>
  </w:style>
  <w:style w:customStyle="1" w:styleId="Definition" w:type="paragraph">
    <w:name w:val="Definition"/>
    <w:basedOn w:val="Normal"/>
    <w:rPr>
      <w:rFonts w:ascii="Calibri" w:hAnsi="Calibri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</w:rPr>
  </w:style>
  <w:style w:customStyle="1" w:styleId="ImageCaption" w:type="paragraph">
    <w:name w:val="Image Caption"/>
    <w:basedOn w:val="Caption"/>
    <w:rPr>
      <w:rFonts w:ascii="Calibri" w:hAnsi="Calibri"/>
    </w:rPr>
  </w:style>
  <w:style w:customStyle="1" w:styleId="Figure" w:type="paragraph">
    <w:name w:val="Figure"/>
    <w:basedOn w:val="Normal"/>
    <w:rPr>
      <w:rFonts w:ascii="Calibri" w:hAnsi="Calibri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</w:rPr>
  </w:style>
  <w:style w:customStyle="1" w:styleId="BodyTextChar" w:type="character">
    <w:name w:val="Body Text Char"/>
    <w:basedOn w:val="DefaultParagraphFont"/>
    <w:link w:val="BodyText"/>
    <w:rPr>
      <w:rFonts w:ascii="Calibri" w:hAnsi="Calibri"/>
    </w:rPr>
  </w:style>
  <w:style w:customStyle="1" w:styleId="VerbatimChar" w:type="character">
    <w:name w:val="Verbatim Char"/>
    <w:basedOn w:val="BodyTextChar"/>
    <w:rPr>
      <w:rFonts w:ascii="Calibri" w:hAnsi="Calibri"/>
      <w:sz w:val="22"/>
    </w:rPr>
  </w:style>
  <w:style w:customStyle="1" w:styleId="SectionNumber" w:type="character">
    <w:name w:val="Section Number"/>
    <w:basedOn w:val="BodyTextChar"/>
    <w:rPr>
      <w:rFonts w:ascii="Calibri" w:hAnsi="Calibri"/>
    </w:rPr>
  </w:style>
  <w:style w:styleId="FootnoteReference" w:type="character">
    <w:name w:val="Footnote Reference"/>
    <w:basedOn w:val="BodyTextChar"/>
    <w:rPr>
      <w:rFonts w:ascii="Calibri" w:hAnsi="Calibri"/>
      <w:vertAlign w:val="superscript"/>
    </w:rPr>
  </w:style>
  <w:style w:styleId="Hyperlink" w:type="character">
    <w:name w:val="Hyperlink"/>
    <w:basedOn w:val="BodyTextChar"/>
    <w:rPr>
      <w:rFonts w:ascii="Calibri" w:hAnsi="Calibri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Calibri" w:hAnsi="Calibr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Calibri" w:hAnsi="Calibri"/>
    </w:rPr>
  </w:style>
  <w:style w:type="character" w:customStyle="1" w:styleId="KeywordTok">
    <w:name w:val="KeywordTok"/>
    <w:basedOn w:val="VerbatimChar"/>
    <w:rPr>
      <w:color w:val="007020"/>
      <w:rFonts w:ascii="Calibri" w:hAnsi="Calibri"/>
      <w:b/>
    </w:rPr>
  </w:style>
  <w:style w:type="character" w:customStyle="1" w:styleId="DataTypeTok">
    <w:name w:val="DataTypeTok"/>
    <w:basedOn w:val="VerbatimChar"/>
    <w:rPr>
      <w:rFonts w:ascii="Calibri" w:hAnsi="Calibri"/>
      <w:color w:val="902000"/>
    </w:rPr>
  </w:style>
  <w:style w:type="character" w:customStyle="1" w:styleId="DecValTok">
    <w:name w:val="DecValTok"/>
    <w:basedOn w:val="VerbatimChar"/>
    <w:rPr>
      <w:rFonts w:ascii="Calibri" w:hAnsi="Calibri"/>
      <w:color w:val="40a070"/>
    </w:rPr>
  </w:style>
  <w:style w:type="character" w:customStyle="1" w:styleId="BaseNTok">
    <w:name w:val="BaseNTok"/>
    <w:basedOn w:val="VerbatimChar"/>
    <w:rPr>
      <w:rFonts w:ascii="Calibri" w:hAnsi="Calibri"/>
      <w:color w:val="40a070"/>
    </w:rPr>
  </w:style>
  <w:style w:type="character" w:customStyle="1" w:styleId="FloatTok">
    <w:name w:val="FloatTok"/>
    <w:basedOn w:val="VerbatimChar"/>
    <w:rPr>
      <w:rFonts w:ascii="Calibri" w:hAnsi="Calibri"/>
      <w:color w:val="40a070"/>
    </w:rPr>
  </w:style>
  <w:style w:type="character" w:customStyle="1" w:styleId="ConstantTok">
    <w:name w:val="ConstantTok"/>
    <w:basedOn w:val="VerbatimChar"/>
    <w:rPr>
      <w:rFonts w:ascii="Calibri" w:hAnsi="Calibri"/>
      <w:color w:val="880000"/>
    </w:rPr>
  </w:style>
  <w:style w:type="character" w:customStyle="1" w:styleId="CharTok">
    <w:name w:val="CharTok"/>
    <w:basedOn w:val="VerbatimChar"/>
    <w:rPr>
      <w:rFonts w:ascii="Calibri" w:hAnsi="Calibri"/>
      <w:color w:val="4070a0"/>
    </w:rPr>
  </w:style>
  <w:style w:type="character" w:customStyle="1" w:styleId="SpecialCharTok">
    <w:name w:val="SpecialCharTok"/>
    <w:basedOn w:val="VerbatimChar"/>
    <w:rPr>
      <w:rFonts w:ascii="Calibri" w:hAnsi="Calibri"/>
      <w:color w:val="4070a0"/>
    </w:rPr>
  </w:style>
  <w:style w:type="character" w:customStyle="1" w:styleId="StringTok">
    <w:name w:val="StringTok"/>
    <w:basedOn w:val="VerbatimChar"/>
    <w:rPr>
      <w:rFonts w:ascii="Calibri" w:hAnsi="Calibri"/>
      <w:color w:val="4070a0"/>
    </w:rPr>
  </w:style>
  <w:style w:type="character" w:customStyle="1" w:styleId="VerbatimStringTok">
    <w:name w:val="VerbatimStringTok"/>
    <w:basedOn w:val="VerbatimChar"/>
    <w:rPr>
      <w:rFonts w:ascii="Calibri" w:hAnsi="Calibri"/>
      <w:color w:val="4070a0"/>
    </w:rPr>
  </w:style>
  <w:style w:type="character" w:customStyle="1" w:styleId="SpecialStringTok">
    <w:name w:val="SpecialStringTok"/>
    <w:basedOn w:val="VerbatimChar"/>
    <w:rPr>
      <w:rFonts w:ascii="Calibri" w:hAnsi="Calibri"/>
      <w:color w:val="bb6688"/>
    </w:rPr>
  </w:style>
  <w:style w:type="character" w:customStyle="1" w:styleId="ImportTok">
    <w:name w:val="ImportTok"/>
    <w:basedOn w:val="VerbatimChar"/>
    <w:rPr>
      <w:color w:val="008000"/>
      <w:rFonts w:ascii="Calibri" w:hAnsi="Calibri"/>
      <w:b/>
    </w:rPr>
  </w:style>
  <w:style w:type="character" w:customStyle="1" w:styleId="CommentTok">
    <w:name w:val="CommentTok"/>
    <w:basedOn w:val="VerbatimChar"/>
    <w:rPr>
      <w:color w:val="60a0b0"/>
      <w:rFonts w:ascii="Calibri" w:hAnsi="Calibri"/>
      <w:i/>
    </w:rPr>
  </w:style>
  <w:style w:type="character" w:customStyle="1" w:styleId="DocumentationTok">
    <w:name w:val="DocumentationTok"/>
    <w:basedOn w:val="VerbatimChar"/>
    <w:rPr>
      <w:color w:val="ba2121"/>
      <w:rFonts w:ascii="Calibri" w:hAnsi="Calibri"/>
      <w:i/>
    </w:rPr>
  </w:style>
  <w:style w:type="character" w:customStyle="1" w:styleId="AnnotationTok">
    <w:name w:val="AnnotationTok"/>
    <w:basedOn w:val="VerbatimChar"/>
    <w:rPr>
      <w:color w:val="60a0b0"/>
      <w:rFonts w:ascii="Calibri" w:hAnsi="Calibri"/>
      <w:b/>
      <w:i/>
    </w:rPr>
  </w:style>
  <w:style w:type="character" w:customStyle="1" w:styleId="CommentVarTok">
    <w:name w:val="CommentVarTok"/>
    <w:basedOn w:val="VerbatimChar"/>
    <w:rPr>
      <w:color w:val="60a0b0"/>
      <w:rFonts w:ascii="Calibri" w:hAnsi="Calibri"/>
      <w:b/>
      <w:i/>
    </w:rPr>
  </w:style>
  <w:style w:type="character" w:customStyle="1" w:styleId="OtherTok">
    <w:name w:val="OtherTok"/>
    <w:basedOn w:val="VerbatimChar"/>
    <w:rPr>
      <w:rFonts w:ascii="Calibri" w:hAnsi="Calibri"/>
      <w:color w:val="007020"/>
    </w:rPr>
  </w:style>
  <w:style w:type="character" w:customStyle="1" w:styleId="FunctionTok">
    <w:name w:val="FunctionTok"/>
    <w:basedOn w:val="VerbatimChar"/>
    <w:rPr>
      <w:rFonts w:ascii="Calibri" w:hAnsi="Calibri"/>
      <w:color w:val="06287e"/>
    </w:rPr>
  </w:style>
  <w:style w:type="character" w:customStyle="1" w:styleId="VariableTok">
    <w:name w:val="VariableTok"/>
    <w:basedOn w:val="VerbatimChar"/>
    <w:rPr>
      <w:rFonts w:ascii="Calibri" w:hAnsi="Calibri"/>
      <w:color w:val="19177c"/>
    </w:rPr>
  </w:style>
  <w:style w:type="character" w:customStyle="1" w:styleId="ControlFlowTok">
    <w:name w:val="ControlFlowTok"/>
    <w:basedOn w:val="VerbatimChar"/>
    <w:rPr>
      <w:color w:val="007020"/>
      <w:rFonts w:ascii="Calibri" w:hAnsi="Calibri"/>
      <w:b/>
    </w:rPr>
  </w:style>
  <w:style w:type="character" w:customStyle="1" w:styleId="OperatorTok">
    <w:name w:val="OperatorTok"/>
    <w:basedOn w:val="VerbatimChar"/>
    <w:rPr>
      <w:rFonts w:ascii="Calibri" w:hAnsi="Calibri"/>
      <w:color w:val="666666"/>
    </w:rPr>
  </w:style>
  <w:style w:type="character" w:customStyle="1" w:styleId="BuiltInTok">
    <w:name w:val="BuiltInTok"/>
    <w:basedOn w:val="VerbatimChar"/>
    <w:rPr>
      <w:rFonts w:ascii="Calibri" w:hAnsi="Calibri"/>
      <w:color w:val="008000"/>
    </w:rPr>
  </w:style>
  <w:style w:type="character" w:customStyle="1" w:styleId="ExtensionTok">
    <w:name w:val="ExtensionTok"/>
    <w:basedOn w:val="VerbatimChar"/>
    <w:rPr>
      <w:rFonts w:ascii="Calibri" w:hAnsi="Calibri"/>
    </w:rPr>
  </w:style>
  <w:style w:type="character" w:customStyle="1" w:styleId="PreprocessorTok">
    <w:name w:val="PreprocessorTok"/>
    <w:basedOn w:val="VerbatimChar"/>
    <w:rPr>
      <w:rFonts w:ascii="Calibri" w:hAnsi="Calibri"/>
      <w:color w:val="bc7a00"/>
    </w:rPr>
  </w:style>
  <w:style w:type="character" w:customStyle="1" w:styleId="AttributeTok">
    <w:name w:val="AttributeTok"/>
    <w:basedOn w:val="VerbatimChar"/>
    <w:rPr>
      <w:rFonts w:ascii="Calibri" w:hAnsi="Calibri"/>
      <w:color w:val="7d9029"/>
    </w:rPr>
  </w:style>
  <w:style w:type="character" w:customStyle="1" w:styleId="RegionMarkerTok">
    <w:name w:val="RegionMarkerTok"/>
    <w:basedOn w:val="VerbatimChar"/>
    <w:rPr>
      <w:rFonts w:ascii="Calibri" w:hAnsi="Calibri"/>
    </w:rPr>
  </w:style>
  <w:style w:type="character" w:customStyle="1" w:styleId="InformationTok">
    <w:name w:val="InformationTok"/>
    <w:basedOn w:val="VerbatimChar"/>
    <w:rPr>
      <w:color w:val="60a0b0"/>
      <w:rFonts w:ascii="Calibri" w:hAnsi="Calibri"/>
      <w:b/>
      <w:i/>
    </w:rPr>
  </w:style>
  <w:style w:type="character" w:customStyle="1" w:styleId="WarningTok">
    <w:name w:val="WarningTok"/>
    <w:basedOn w:val="VerbatimChar"/>
    <w:rPr>
      <w:color w:val="60a0b0"/>
      <w:rFonts w:ascii="Calibri" w:hAnsi="Calibri"/>
      <w:b/>
      <w:i/>
    </w:rPr>
  </w:style>
  <w:style w:type="character" w:customStyle="1" w:styleId="AlertTok">
    <w:name w:val="AlertTok"/>
    <w:basedOn w:val="VerbatimChar"/>
    <w:rPr>
      <w:color w:val="ff0000"/>
      <w:rFonts w:ascii="Calibri" w:hAnsi="Calibri"/>
      <w:b/>
    </w:rPr>
  </w:style>
  <w:style w:type="character" w:customStyle="1" w:styleId="ErrorTok">
    <w:name w:val="ErrorTok"/>
    <w:basedOn w:val="VerbatimChar"/>
    <w:rPr>
      <w:color w:val="ff0000"/>
      <w:rFonts w:ascii="Calibri" w:hAnsi="Calibri"/>
      <w:b/>
    </w:rPr>
  </w:style>
  <w:style w:type="character" w:customStyle="1" w:styleId="NormalTok">
    <w:name w:val="NormalTok"/>
    <w:basedOn w:val="VerbatimChar"/>
    <w:rPr>
      <w:rFonts w:ascii="Calibri" w:hAnsi="Calibri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8" Type="http://schemas.openxmlformats.org/officeDocument/2006/relationships/hyperlink" Target="https://bg.khanacademy.org/math/7-klas/x8cb206e4b6d66278:ednochleni-i-mnogochleni/x8cb206e4b6d66278:deystvia-s-mnogochleni" TargetMode="External"/><Relationship Id="rId33" Type="http://schemas.openxmlformats.org/officeDocument/2006/relationships/hyperlink" Target="https://bg.khanacademy.org/math/7-klas/x8cb206e4b6d66278:ednochleni-i-mnogochleni/x8cb206e4b6d66278:deystvia-s-mnogochleni/e/add---subtract-polynomials--find-the-error" TargetMode="External"/><Relationship Id="rId32" Type="http://schemas.openxmlformats.org/officeDocument/2006/relationships/hyperlink" Target="https://bg.khanacademy.org/math/7-klas/x8cb206e4b6d66278:ednochleni-i-mnogochleni/x8cb206e4b6d66278:deystvia-s-mnogochleni/e/add---subtract-polynomials--two-variables-challenge" TargetMode="External"/><Relationship Id="rId31" Type="http://schemas.openxmlformats.org/officeDocument/2006/relationships/hyperlink" Target="https://bg.khanacademy.org/math/7-klas/x8cb206e4b6d66278:ednochleni-i-mnogochleni/x8cb206e4b6d66278:deystvia-s-mnogochleni/e/add---subtract-polynomials-challenge" TargetMode="External"/><Relationship Id="rId34" Type="http://schemas.openxmlformats.org/officeDocument/2006/relationships/hyperlink" Target="https://bg.khanacademy.org/math/7-klas/x8cb206e4b6d66278:ednochleni-i-mnogochleni/x8cb206e4b6d66278:deystvia-s-mnogochleni/v/adding-and-subtracting-polynomials-1" TargetMode="External"/><Relationship Id="rId29" Type="http://schemas.openxmlformats.org/officeDocument/2006/relationships/hyperlink" Target="https://bg.khanacademy.org/math/7-klas/x8cb206e4b6d66278:ednochleni-i-mnogochleni/x8cb206e4b6d66278:mnogochlen/e/combining_like_terms_1" TargetMode="External"/><Relationship Id="rId30" Type="http://schemas.openxmlformats.org/officeDocument/2006/relationships/hyperlink" Target="https://bg.khanacademy.org/math/7-klas/x8cb206e4b6d66278:ednochleni-i-mnogochleni/x8cb206e4b6d66278:mnogochlen/v/combining-like-terms" TargetMode="External"/><Relationship Id="rId9" Type="http://schemas.openxmlformats.org/officeDocument/2006/relationships/header" Target="header1.xml"/></Relationships>
</file>

<file path=word/_rels/footnotes.xml.rels><?xml version='1.0' encoding='UTF-8' standalone='yes'?>
<Relationships xmlns="http://schemas.openxmlformats.org/package/2006/relationships"><Relationship Id="rId28" Type="http://schemas.openxmlformats.org/officeDocument/2006/relationships/hyperlink" Target="https://bg.khanacademy.org/math/7-klas/x8cb206e4b6d66278:ednochleni-i-mnogochleni/x8cb206e4b6d66278:deystvia-s-mnogochleni" TargetMode="External"/><Relationship Id="rId33" Type="http://schemas.openxmlformats.org/officeDocument/2006/relationships/hyperlink" Target="https://bg.khanacademy.org/math/7-klas/x8cb206e4b6d66278:ednochleni-i-mnogochleni/x8cb206e4b6d66278:deystvia-s-mnogochleni/e/add---subtract-polynomials--find-the-error" TargetMode="External"/><Relationship Id="rId32" Type="http://schemas.openxmlformats.org/officeDocument/2006/relationships/hyperlink" Target="https://bg.khanacademy.org/math/7-klas/x8cb206e4b6d66278:ednochleni-i-mnogochleni/x8cb206e4b6d66278:deystvia-s-mnogochleni/e/add---subtract-polynomials--two-variables-challenge" TargetMode="External"/><Relationship Id="rId31" Type="http://schemas.openxmlformats.org/officeDocument/2006/relationships/hyperlink" Target="https://bg.khanacademy.org/math/7-klas/x8cb206e4b6d66278:ednochleni-i-mnogochleni/x8cb206e4b6d66278:deystvia-s-mnogochleni/e/add---subtract-polynomials-challenge" TargetMode="External"/><Relationship Id="rId34" Type="http://schemas.openxmlformats.org/officeDocument/2006/relationships/hyperlink" Target="https://bg.khanacademy.org/math/7-klas/x8cb206e4b6d66278:ednochleni-i-mnogochleni/x8cb206e4b6d66278:deystvia-s-mnogochleni/v/adding-and-subtracting-polynomials-1" TargetMode="External"/><Relationship Id="rId29" Type="http://schemas.openxmlformats.org/officeDocument/2006/relationships/hyperlink" Target="https://bg.khanacademy.org/math/7-klas/x8cb206e4b6d66278:ednochleni-i-mnogochleni/x8cb206e4b6d66278:mnogochlen/e/combining_like_terms_1" TargetMode="External"/><Relationship Id="rId30" Type="http://schemas.openxmlformats.org/officeDocument/2006/relationships/hyperlink" Target="https://bg.khanacademy.org/math/7-klas/x8cb206e4b6d66278:ednochleni-i-mnogochleni/x8cb206e4b6d66278:mnogochlen/v/combining-like-terms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2026-10-14T21:55:24Z</dcterms:created>
  <dcterms:modified xsi:type="dcterms:W3CDTF">2026-10-14T21:55:24Z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